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1" w:rsidRDefault="00C12DC1" w:rsidP="00C12D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C12DC1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Oferta edukacyjna  Lokalnego Ośrodka Wiedzy i Edukacji </w:t>
      </w:r>
      <w:r w:rsidRPr="00C12DC1">
        <w:rPr>
          <w:rFonts w:ascii="Arial" w:eastAsia="Times New Roman" w:hAnsi="Arial" w:cs="Arial"/>
          <w:b/>
          <w:sz w:val="28"/>
          <w:szCs w:val="20"/>
          <w:lang w:eastAsia="pl-PL"/>
        </w:rPr>
        <w:br/>
        <w:t xml:space="preserve">w </w:t>
      </w:r>
      <w:r w:rsidR="006444BD">
        <w:rPr>
          <w:rFonts w:ascii="Arial" w:eastAsia="Times New Roman" w:hAnsi="Arial" w:cs="Arial"/>
          <w:b/>
          <w:sz w:val="28"/>
          <w:szCs w:val="20"/>
          <w:lang w:eastAsia="pl-PL"/>
        </w:rPr>
        <w:t>Fastach</w:t>
      </w:r>
    </w:p>
    <w:p w:rsidR="00C12DC1" w:rsidRPr="00C12DC1" w:rsidRDefault="00C12DC1" w:rsidP="00C12D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C12DC1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PODSTAWOWE INFORMACJE  </w:t>
      </w:r>
    </w:p>
    <w:p w:rsidR="00C12DC1" w:rsidRPr="00C12DC1" w:rsidRDefault="00C12DC1" w:rsidP="00C12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6917"/>
      </w:tblGrid>
      <w:tr w:rsidR="00C12DC1" w:rsidRPr="00C12DC1" w:rsidTr="00C12DC1">
        <w:trPr>
          <w:trHeight w:val="568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PODSTAWOWE INFORMACJE</w:t>
            </w: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 </w:t>
            </w:r>
            <w:r w:rsidRPr="00C12D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działania</w:t>
            </w:r>
            <w:r w:rsidRPr="00C12D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  <w:tc>
          <w:tcPr>
            <w:tcW w:w="6917" w:type="dxa"/>
          </w:tcPr>
          <w:p w:rsidR="00C12DC1" w:rsidRPr="00C12DC1" w:rsidRDefault="006444BD" w:rsidP="00C12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Kwalifikowalna Pierwsza Pomoc dla Ochotniczej Straży Pożarnej </w:t>
            </w:r>
          </w:p>
        </w:tc>
      </w:tr>
      <w:tr w:rsidR="00C12DC1" w:rsidRPr="00C12DC1" w:rsidTr="00C12DC1"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12D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(data lub okres od-do)</w:t>
            </w:r>
          </w:p>
        </w:tc>
        <w:tc>
          <w:tcPr>
            <w:tcW w:w="6917" w:type="dxa"/>
          </w:tcPr>
          <w:p w:rsidR="00C12DC1" w:rsidRPr="00C12DC1" w:rsidRDefault="006444BD" w:rsidP="00C12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5549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lutego dwa weekendy piątek - niedziela</w:t>
            </w:r>
          </w:p>
        </w:tc>
      </w:tr>
      <w:tr w:rsidR="00C12DC1" w:rsidRPr="00C12DC1" w:rsidTr="00C12DC1">
        <w:trPr>
          <w:trHeight w:val="540"/>
        </w:trPr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8E55F3" w:rsidRDefault="008E55F3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Organizator </w:t>
            </w:r>
          </w:p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6917" w:type="dxa"/>
          </w:tcPr>
          <w:p w:rsidR="008E55F3" w:rsidRDefault="008E55F3" w:rsidP="00C12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- Przedszkolny w Fastach</w:t>
            </w:r>
          </w:p>
          <w:p w:rsidR="00C12DC1" w:rsidRPr="00C12DC1" w:rsidRDefault="008E55F3" w:rsidP="00C12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Remiza Ochotniczej Straży </w:t>
            </w:r>
            <w:r w:rsidR="00087E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ożarnej w Pogorzałkach </w:t>
            </w:r>
          </w:p>
        </w:tc>
      </w:tr>
    </w:tbl>
    <w:p w:rsidR="00C12DC1" w:rsidRPr="00C12DC1" w:rsidRDefault="00C12DC1" w:rsidP="00C12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DC1" w:rsidRPr="00C12DC1" w:rsidRDefault="00C12DC1" w:rsidP="00C12DC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pl-PL"/>
        </w:rPr>
      </w:pPr>
      <w:r w:rsidRPr="00C12DC1">
        <w:rPr>
          <w:rFonts w:ascii="Arial" w:eastAsia="Times New Roman" w:hAnsi="Arial" w:cs="Arial"/>
          <w:b/>
          <w:sz w:val="24"/>
          <w:szCs w:val="32"/>
          <w:lang w:eastAsia="pl-PL"/>
        </w:rPr>
        <w:t>ZAŁOŻENIA PROGRAMOWE I REALIZACYJNE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6875"/>
      </w:tblGrid>
      <w:tr w:rsidR="00C12DC1" w:rsidRPr="00C12DC1" w:rsidTr="00144341">
        <w:trPr>
          <w:trHeight w:val="1665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Cele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2"/>
            </w:r>
          </w:p>
        </w:tc>
        <w:tc>
          <w:tcPr>
            <w:tcW w:w="7230" w:type="dxa"/>
          </w:tcPr>
          <w:p w:rsidR="00C12DC1" w:rsidRDefault="002175F4" w:rsidP="00087E0F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Rozwijanie kompetencji kluczowych </w:t>
            </w:r>
            <w:r w:rsidR="00554922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: społecznych, zawodowych i obywatelskich oraz uczenia się przez całe życie. </w:t>
            </w:r>
          </w:p>
          <w:p w:rsidR="002175F4" w:rsidRPr="00C12DC1" w:rsidRDefault="002175F4" w:rsidP="00087E0F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  <w:p w:rsidR="00C12DC1" w:rsidRPr="00C12DC1" w:rsidRDefault="00C12DC1" w:rsidP="00C12DC1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C12DC1" w:rsidRPr="00C12DC1" w:rsidTr="00144341">
        <w:trPr>
          <w:trHeight w:val="3105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Spodziewane efekty  uczenia się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3"/>
            </w:r>
          </w:p>
        </w:tc>
        <w:tc>
          <w:tcPr>
            <w:tcW w:w="7230" w:type="dxa"/>
          </w:tcPr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W zakresie wiedzy</w:t>
            </w:r>
            <w:r w:rsidR="002175F4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uczestnik :</w:t>
            </w:r>
          </w:p>
          <w:p w:rsidR="00C12DC1" w:rsidRPr="00C12DC1" w:rsidRDefault="00087E0F" w:rsidP="00C12DC1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nabycie wiedzy z zakresu udzielania pierwszej pomocy medycznej  poszkodowanym w różnym stanie w  różnych sytuacjach z użyciem różnego sprzętu.</w:t>
            </w:r>
          </w:p>
          <w:p w:rsidR="00C12DC1" w:rsidRPr="00C12DC1" w:rsidRDefault="00C12DC1" w:rsidP="00087E0F">
            <w:pPr>
              <w:spacing w:before="80" w:after="0" w:line="240" w:lineRule="auto"/>
              <w:ind w:left="417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</w:p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W zakresie umiejętności:</w:t>
            </w:r>
          </w:p>
          <w:p w:rsidR="00C12DC1" w:rsidRPr="00C12DC1" w:rsidRDefault="00087E0F" w:rsidP="00C12DC1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umiejętność udzielania pierwszej pomocy poszkodowanym w różnych sytuacja i w różnym stanie z użyciem różn</w:t>
            </w:r>
            <w:r w:rsidR="005E06EF">
              <w:rPr>
                <w:rFonts w:ascii="Arial" w:eastAsia="Calibri" w:hAnsi="Arial" w:cs="Arial"/>
                <w:sz w:val="20"/>
                <w:szCs w:val="18"/>
              </w:rPr>
              <w:t>ego sprzętu.</w:t>
            </w:r>
            <w:r>
              <w:rPr>
                <w:rFonts w:ascii="Arial" w:eastAsia="Calibri" w:hAnsi="Arial" w:cs="Arial"/>
                <w:sz w:val="20"/>
                <w:szCs w:val="18"/>
              </w:rPr>
              <w:t xml:space="preserve"> </w:t>
            </w:r>
          </w:p>
          <w:p w:rsidR="00C12DC1" w:rsidRPr="00C12DC1" w:rsidRDefault="00C12DC1" w:rsidP="00C12DC1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</w:p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W zakresie postaw:</w:t>
            </w:r>
          </w:p>
          <w:p w:rsidR="00C12DC1" w:rsidRDefault="002175F4" w:rsidP="00C12DC1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potrafi prawidłowo zareagować w różnych stanach zagrożenia życia</w:t>
            </w:r>
          </w:p>
          <w:p w:rsidR="002175F4" w:rsidRPr="00C12DC1" w:rsidRDefault="002175F4" w:rsidP="00C12DC1">
            <w:pPr>
              <w:numPr>
                <w:ilvl w:val="0"/>
                <w:numId w:val="14"/>
              </w:numPr>
              <w:spacing w:before="80" w:after="0" w:line="240" w:lineRule="auto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>postawa zaangażowania społecznego</w:t>
            </w:r>
          </w:p>
          <w:p w:rsidR="00C12DC1" w:rsidRPr="00C12DC1" w:rsidRDefault="002175F4" w:rsidP="002175F4">
            <w:pPr>
              <w:spacing w:before="80" w:after="0" w:line="240" w:lineRule="auto"/>
              <w:ind w:left="57"/>
              <w:contextualSpacing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 xml:space="preserve"> 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Ramowy program</w:t>
            </w:r>
          </w:p>
        </w:tc>
        <w:tc>
          <w:tcPr>
            <w:tcW w:w="7230" w:type="dxa"/>
          </w:tcPr>
          <w:p w:rsidR="00C12DC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25</w:t>
            </w:r>
            <w:r w:rsidR="00C71362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h teorii </w:t>
            </w:r>
            <w:r w:rsidR="003873B5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41</w:t>
            </w:r>
            <w:r w:rsidR="003873B5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zajęć praktycznych w tym:</w:t>
            </w:r>
          </w:p>
          <w:p w:rsidR="00C71362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Organizacja ratownictwa medycznego   - podstawy prawne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Bezpieczeństwo własne , poszkodowanego i miejsce zdarzenia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Zestawy ratownicze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Anatomia i fizjologia. Badanie wstępne i szczegółowe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Poszkodowany nieprzytomny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Resuscytacja( dorosły, dziecko, niemowlę ,noworodek, sytuacje szczególne)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Defibrylator zautomatyzowany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Wstrząs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Inne stany nagłe ( drgawki, cukrzyca, zawał, udar mózgowy, zatrucia itp.)</w:t>
            </w:r>
          </w:p>
          <w:p w:rsidR="00C71362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Urazy mechaniczne i obrażenia 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Urazy chemiczne, termiczne, elektryczne</w:t>
            </w:r>
          </w:p>
          <w:p w:rsidR="003873B5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lastRenderedPageBreak/>
              <w:t>Taktyka działań ratowniczych, zda</w:t>
            </w:r>
            <w:r w:rsidR="00E073B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rze</w:t>
            </w: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nia masowe</w:t>
            </w:r>
          </w:p>
          <w:p w:rsidR="00E073B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Ewakuacja ze strefy zagrożenia</w:t>
            </w:r>
          </w:p>
          <w:p w:rsidR="00E073B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Udzielanie KPP w sytuacjach symulowanych</w:t>
            </w:r>
          </w:p>
          <w:p w:rsidR="00E073B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Psychologiczne aspekty wsparcia poszkodowanych</w:t>
            </w:r>
          </w:p>
          <w:p w:rsidR="003873B5" w:rsidRPr="00C12DC1" w:rsidRDefault="003873B5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lastRenderedPageBreak/>
              <w:t>Czas trwania i sposób organizacji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4"/>
            </w:r>
          </w:p>
        </w:tc>
        <w:tc>
          <w:tcPr>
            <w:tcW w:w="7230" w:type="dxa"/>
          </w:tcPr>
          <w:p w:rsidR="00C12DC1" w:rsidRDefault="006444BD" w:rsidP="006444BD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Piątki </w:t>
            </w:r>
            <w:r w:rsidR="00C71362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zajęcia online</w:t>
            </w:r>
          </w:p>
          <w:p w:rsidR="00C71362" w:rsidRPr="00C12DC1" w:rsidRDefault="00C71362" w:rsidP="006444BD">
            <w:pPr>
              <w:spacing w:before="80" w:after="0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Sobota, niedziela  - zajęcia praktyczne 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Rodzaj wsparcia 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5"/>
            </w:r>
          </w:p>
        </w:tc>
        <w:tc>
          <w:tcPr>
            <w:tcW w:w="7230" w:type="dxa"/>
          </w:tcPr>
          <w:p w:rsidR="00C12DC1" w:rsidRPr="00C12DC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Kurs z egzaminem 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Metody realizacji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6"/>
            </w:r>
          </w:p>
        </w:tc>
        <w:tc>
          <w:tcPr>
            <w:tcW w:w="7230" w:type="dxa"/>
          </w:tcPr>
          <w:p w:rsidR="00C12DC1" w:rsidRPr="00C12DC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Zajęcia online i warsztaty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Adresaci/uczestnicy  wsparcia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7"/>
            </w:r>
          </w:p>
        </w:tc>
        <w:tc>
          <w:tcPr>
            <w:tcW w:w="7230" w:type="dxa"/>
          </w:tcPr>
          <w:p w:rsidR="00C12DC1" w:rsidRPr="00C12DC1" w:rsidRDefault="00554922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Kandydaci i Ochotnicy Straży Pożarnej z terenu Gminy Dobrzyniewo Duże 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Materiały  dla uczestników</w:t>
            </w:r>
          </w:p>
        </w:tc>
        <w:tc>
          <w:tcPr>
            <w:tcW w:w="7230" w:type="dxa"/>
          </w:tcPr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Metody ewaluacji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8"/>
            </w:r>
          </w:p>
        </w:tc>
        <w:tc>
          <w:tcPr>
            <w:tcW w:w="7230" w:type="dxa"/>
          </w:tcPr>
          <w:p w:rsidR="00C12DC1" w:rsidRPr="00C12DC1" w:rsidRDefault="00E073B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v</w:t>
            </w:r>
            <w:r w:rsidR="00C12DC1" w:rsidRPr="00C12DC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 Ankieta ewaluacyjna    □ Wywiad indywidualny  □ Wywiad grupowy</w:t>
            </w:r>
          </w:p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□ Test □ Obserwacja (np. trenera)  </w:t>
            </w:r>
          </w:p>
        </w:tc>
      </w:tr>
      <w:tr w:rsidR="00C12DC1" w:rsidRPr="00C12DC1" w:rsidTr="00144341">
        <w:tc>
          <w:tcPr>
            <w:tcW w:w="2196" w:type="dxa"/>
            <w:tcBorders>
              <w:top w:val="single" w:sz="6" w:space="0" w:color="auto"/>
              <w:bottom w:val="single" w:sz="4" w:space="0" w:color="auto"/>
            </w:tcBorders>
            <w:shd w:val="pct15" w:color="auto" w:fill="auto"/>
          </w:tcPr>
          <w:p w:rsidR="00C12DC1" w:rsidRPr="00C12DC1" w:rsidRDefault="00C12DC1" w:rsidP="00C12DC1">
            <w:pPr>
              <w:spacing w:before="80"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Rekomendacje rozwojowe dla uczestników</w:t>
            </w:r>
            <w:r w:rsidRPr="00C12DC1">
              <w:rPr>
                <w:rFonts w:ascii="Arial" w:eastAsia="Times New Roman" w:hAnsi="Arial" w:cs="Arial"/>
                <w:b/>
                <w:sz w:val="20"/>
                <w:szCs w:val="18"/>
                <w:vertAlign w:val="superscript"/>
                <w:lang w:eastAsia="pl-PL"/>
              </w:rPr>
              <w:endnoteReference w:id="9"/>
            </w:r>
          </w:p>
        </w:tc>
        <w:tc>
          <w:tcPr>
            <w:tcW w:w="7230" w:type="dxa"/>
          </w:tcPr>
          <w:p w:rsidR="00C12DC1" w:rsidRPr="00C12DC1" w:rsidRDefault="00C12DC1" w:rsidP="00C12DC1">
            <w:pPr>
              <w:spacing w:before="80" w:after="0" w:line="240" w:lineRule="auto"/>
              <w:ind w:left="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</w:tbl>
    <w:p w:rsidR="00C12DC1" w:rsidRPr="00C12DC1" w:rsidRDefault="00C12DC1" w:rsidP="00C12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2DC1" w:rsidRPr="00C12DC1" w:rsidRDefault="00C12DC1" w:rsidP="00C12DC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2DC1" w:rsidRPr="00C12DC1" w:rsidRDefault="00C12DC1" w:rsidP="00C12DC1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DC1">
        <w:rPr>
          <w:rFonts w:ascii="Arial" w:eastAsia="Times New Roman" w:hAnsi="Arial" w:cs="Arial"/>
          <w:b/>
          <w:sz w:val="24"/>
          <w:szCs w:val="24"/>
          <w:lang w:eastAsia="pl-PL"/>
        </w:rPr>
        <w:t>HARMONOGRAM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7331"/>
      </w:tblGrid>
      <w:tr w:rsidR="00C12DC1" w:rsidRPr="00C12DC1" w:rsidTr="00C12DC1">
        <w:trPr>
          <w:trHeight w:val="396"/>
        </w:trPr>
        <w:tc>
          <w:tcPr>
            <w:tcW w:w="177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Godziny </w:t>
            </w: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br/>
              <w:t>(od-do)</w:t>
            </w: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765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C12DC1" w:rsidRPr="00C12DC1" w:rsidRDefault="00C12DC1" w:rsidP="00C12D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Opis</w:t>
            </w:r>
          </w:p>
        </w:tc>
      </w:tr>
      <w:tr w:rsidR="00C12DC1" w:rsidRPr="00C12DC1" w:rsidTr="00144341">
        <w:trPr>
          <w:trHeight w:val="396"/>
        </w:trPr>
        <w:tc>
          <w:tcPr>
            <w:tcW w:w="1771" w:type="dxa"/>
            <w:tcBorders>
              <w:top w:val="single" w:sz="6" w:space="0" w:color="auto"/>
            </w:tcBorders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9:00-10:30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C12DC1" w:rsidRPr="00C12DC1" w:rsidRDefault="00C12DC1" w:rsidP="00C12D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12DC1" w:rsidRPr="00C12DC1" w:rsidTr="00144341"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10:30 – 10:45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  <w:t>Przerwa (15 min.)</w:t>
            </w:r>
          </w:p>
        </w:tc>
      </w:tr>
      <w:tr w:rsidR="00C12DC1" w:rsidRPr="00C12DC1" w:rsidTr="00144341">
        <w:trPr>
          <w:trHeight w:val="414"/>
        </w:trPr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10:45 – 12:15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12DC1" w:rsidRPr="00C12DC1" w:rsidTr="00144341"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12:15 – 12:45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Przerwa (30 minut)</w:t>
            </w:r>
          </w:p>
        </w:tc>
      </w:tr>
      <w:tr w:rsidR="00C12DC1" w:rsidRPr="00C12DC1" w:rsidTr="00144341">
        <w:trPr>
          <w:trHeight w:val="421"/>
        </w:trPr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12:45 – 14:15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C12DC1" w:rsidRPr="00C12DC1" w:rsidTr="00144341"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14:15 – 14:30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b/>
                <w:bCs/>
                <w:i/>
                <w:sz w:val="20"/>
                <w:szCs w:val="24"/>
                <w:lang w:eastAsia="pl-PL"/>
              </w:rPr>
              <w:t>Przerwa (15 min.)</w:t>
            </w:r>
          </w:p>
        </w:tc>
      </w:tr>
      <w:tr w:rsidR="00C12DC1" w:rsidRPr="00C12DC1" w:rsidTr="00144341">
        <w:trPr>
          <w:trHeight w:val="399"/>
        </w:trPr>
        <w:tc>
          <w:tcPr>
            <w:tcW w:w="1771" w:type="dxa"/>
          </w:tcPr>
          <w:p w:rsidR="00C12DC1" w:rsidRPr="00C12DC1" w:rsidRDefault="00C12DC1" w:rsidP="00C12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12DC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14:30 – 16:00</w:t>
            </w:r>
          </w:p>
        </w:tc>
        <w:tc>
          <w:tcPr>
            <w:tcW w:w="7655" w:type="dxa"/>
          </w:tcPr>
          <w:p w:rsidR="00C12DC1" w:rsidRPr="00C12DC1" w:rsidRDefault="00C12DC1" w:rsidP="00C12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C12DC1" w:rsidRPr="00C12DC1" w:rsidRDefault="00C12DC1" w:rsidP="00C12D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81746" w:rsidRDefault="00D81746" w:rsidP="00C12DC1"/>
    <w:p w:rsidR="00554922" w:rsidRDefault="00554922" w:rsidP="00C12DC1"/>
    <w:p w:rsidR="00554922" w:rsidRDefault="00554922" w:rsidP="00C12DC1"/>
    <w:p w:rsidR="00554922" w:rsidRDefault="00554922" w:rsidP="00C12DC1"/>
    <w:p w:rsidR="00554922" w:rsidRDefault="00554922" w:rsidP="00C12DC1"/>
    <w:p w:rsidR="00554922" w:rsidRDefault="00554922" w:rsidP="00C12DC1"/>
    <w:p w:rsidR="00554922" w:rsidRDefault="00554922" w:rsidP="00C12DC1"/>
    <w:p w:rsidR="00554922" w:rsidRPr="00C12DC1" w:rsidRDefault="00554922" w:rsidP="00C12DC1">
      <w:bookmarkStart w:id="0" w:name="_GoBack"/>
      <w:bookmarkEnd w:id="0"/>
    </w:p>
    <w:sectPr w:rsidR="00554922" w:rsidRPr="00C12DC1" w:rsidSect="008E5971">
      <w:headerReference w:type="default" r:id="rId8"/>
      <w:footerReference w:type="default" r:id="rId9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8E" w:rsidRDefault="00315C8E" w:rsidP="004B4375">
      <w:pPr>
        <w:spacing w:line="240" w:lineRule="auto"/>
      </w:pPr>
      <w:r>
        <w:separator/>
      </w:r>
    </w:p>
  </w:endnote>
  <w:endnote w:type="continuationSeparator" w:id="0">
    <w:p w:rsidR="00315C8E" w:rsidRDefault="00315C8E" w:rsidP="004B4375">
      <w:pPr>
        <w:spacing w:line="240" w:lineRule="auto"/>
      </w:pPr>
      <w:r>
        <w:continuationSeparator/>
      </w:r>
    </w:p>
  </w:endnote>
  <w:endnote w:id="1">
    <w:p w:rsidR="00C12DC1" w:rsidRPr="00C12DC1" w:rsidRDefault="00C12DC1" w:rsidP="00C12DC1">
      <w:pPr>
        <w:pStyle w:val="Tekstprzypisukocowego"/>
        <w:spacing w:before="120" w:after="120"/>
        <w:jc w:val="both"/>
        <w:rPr>
          <w:rFonts w:ascii="Calibri" w:hAnsi="Calibri" w:cs="Calibri"/>
          <w:sz w:val="18"/>
          <w:szCs w:val="16"/>
        </w:rPr>
      </w:pPr>
      <w:r w:rsidRPr="00C12DC1">
        <w:rPr>
          <w:rStyle w:val="Odwoanieprzypisukocowego"/>
          <w:rFonts w:ascii="Calibri" w:hAnsi="Calibri" w:cs="Calibri"/>
          <w:sz w:val="18"/>
          <w:szCs w:val="16"/>
        </w:rPr>
        <w:endnoteRef/>
      </w:r>
      <w:r w:rsidRPr="00C12DC1">
        <w:rPr>
          <w:rFonts w:ascii="Calibri" w:hAnsi="Calibri" w:cs="Calibri"/>
          <w:sz w:val="18"/>
          <w:szCs w:val="16"/>
        </w:rPr>
        <w:t xml:space="preserve"> </w:t>
      </w:r>
      <w:r w:rsidRPr="00C12DC1">
        <w:rPr>
          <w:rFonts w:ascii="Calibri" w:hAnsi="Calibri" w:cs="Calibri"/>
          <w:b/>
          <w:sz w:val="18"/>
          <w:szCs w:val="16"/>
        </w:rPr>
        <w:t>Działanie</w:t>
      </w:r>
      <w:r w:rsidRPr="00C12DC1">
        <w:rPr>
          <w:rFonts w:ascii="Calibri" w:hAnsi="Calibri" w:cs="Calibri"/>
          <w:sz w:val="18"/>
          <w:szCs w:val="16"/>
        </w:rPr>
        <w:t xml:space="preserve">  oznacza każdą aktywność edukacyjną służącą rozwijaniu określonych kompetencji osoby uczącej się, np. osób dorosłych, organizowaną w trybie </w:t>
      </w:r>
      <w:proofErr w:type="spellStart"/>
      <w:r w:rsidRPr="00C12DC1">
        <w:rPr>
          <w:rFonts w:ascii="Calibri" w:hAnsi="Calibri" w:cs="Calibri"/>
          <w:sz w:val="18"/>
          <w:szCs w:val="16"/>
        </w:rPr>
        <w:t>pozaformalnym</w:t>
      </w:r>
      <w:proofErr w:type="spellEnd"/>
      <w:r w:rsidRPr="00C12DC1">
        <w:rPr>
          <w:rFonts w:ascii="Calibri" w:hAnsi="Calibri" w:cs="Calibri"/>
          <w:sz w:val="18"/>
          <w:szCs w:val="16"/>
        </w:rPr>
        <w:t xml:space="preserve">  i nieformalnym, np. kurs, szkolenie, warsztat, spotkanie, doradztwo, akcja,  projekt, itp. Każdą zaplanowaną formę wsparcia dla osób dorosłych należy opisać zgodnie z poniższym schematem</w:t>
      </w:r>
    </w:p>
  </w:endnote>
  <w:endnote w:id="2">
    <w:p w:rsidR="00C12DC1" w:rsidRPr="00C12DC1" w:rsidRDefault="00C12DC1" w:rsidP="00C12DC1">
      <w:pPr>
        <w:pStyle w:val="Tekstkomentarza"/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>Cele nauczania</w:t>
      </w:r>
      <w:r w:rsidRPr="00C12DC1">
        <w:rPr>
          <w:rFonts w:ascii="Calibri" w:hAnsi="Calibri" w:cs="Calibri"/>
          <w:sz w:val="18"/>
          <w:szCs w:val="18"/>
        </w:rPr>
        <w:t xml:space="preserve"> należy opisać w nawiązaniu do kompetencji , które uczestnicy działania mogą zdobyć/rozwinąć/wzmocnić dzięki uczestnictwu w danej formie wsparcia (działaniu).  W szczególności należy odnieść się do kompetencji kluczowych: 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„Komunikowanie się w języku ojczystym – obejmuje zdolność do wyrażania i interpretowania myśli, odczuć i faktów w mowie i piśmie; umiejętność uczestniczenia w dyskusjach, słuchania, wypowiadania się, czytania i kojarzenia informacji, pisemnego wyrażania własnego stanowiska, poglądów, odczuć, adekwatnego do sytuacji i kontekstu, także dyspozycje do krytycznego i konstruktywnego dialogu, gotowość do wymiany myśli z innymi.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Komunikowanie się w języku obcym – obejmuje analogiczne umiejętności do posiadanych w języku ojczystym, zróżnicowane w zależności od liczby języków obcych. Zwraca się tez uwagę na wyrobienie dyspozycji do poznawania różnic kulturowych i do komunikowania się pomiędzy kulturami.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Myślenie matematyczne oraz umiejętności rozumowania w kategoriach nauk przyrodniczych, obycie z zagadnieniami technicznymi – umiejętność myślenia matematycznego oraz wykorzystywania jego elementów w rozwiązywaniu codziennych problemów wchodzi w zakres podstawowych dyspozycji potrzebnych w życiu; także znajomość i obycie z pewnym trybem rozumowania w działalności naukowej są niezbędne do rozumienia współczesnego świata i towarzyszących mu przekazów; ważna jest twórcza i krytyczna postawa wobec nauki.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Umiejętność posługiwania się ICT i wykorzystywania ich na co dzień, a także wykształcenie odpowiedzialności w posługiwaniu się mediami elektronicznymi.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Umiejętność uczenia się – obejmuje dość rozległy zespół dyspozycji, które mają zapewnić pewną łatwość zdobywania dalszej wiedzy, poczynając od wykształcenia poczucia zaufania do własnych możliwości i motywacji do pogłębiania umiejętności, poprzez zdolność określenia potrzeb własnego rozwoju w danej sytuacji, po umiejętność zorganizowania sobie własnego pola działania w tym zakresie i korzystania z istniejących udogodnień, a także umiejętność kojarzenia ze sobą różnych dziedzin wiedzy.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Umiejętności społeczne, współpracy z innymi, także obywatelskie i międzykulturowe – obejmują zagadnienia od podstawowych zasad pracy w grupie, rozwiązywania konfliktów i osiągania konsensusu, przez wyczulenie na różnice kulturowe, po umiejętności i rozumienie potrzeby uczestniczenia w większych formach współpracy, znajomość praw człowieka, szacunek dla innych, świadomość własnej tożsamości w wymiarze lokalnym, narodowym, europejskim.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Przedsiębiorczość – rozumiana bardzo szeroko jako umiejętność przekuwania pomysłów w czyny, twórczego podejścia do otaczającej rzeczywistości, podejmowania i kalkulowania ryzyka, zarówno w sprawach zawodowych, jak i w codziennych; umiejętność zaplanowania różnego kalibru przedsięwzięć i kierowania nimi.</w:t>
      </w:r>
    </w:p>
    <w:p w:rsidR="00C12DC1" w:rsidRPr="00C12DC1" w:rsidRDefault="00C12DC1" w:rsidP="00C12DC1">
      <w:pPr>
        <w:pStyle w:val="Tekstkomentarza"/>
        <w:numPr>
          <w:ilvl w:val="0"/>
          <w:numId w:val="15"/>
        </w:numPr>
        <w:spacing w:before="120" w:after="120"/>
        <w:ind w:left="720"/>
        <w:jc w:val="both"/>
        <w:rPr>
          <w:rFonts w:ascii="Calibri" w:hAnsi="Calibri" w:cs="Calibri"/>
          <w:sz w:val="18"/>
          <w:szCs w:val="16"/>
        </w:rPr>
      </w:pPr>
      <w:r w:rsidRPr="00C12DC1">
        <w:rPr>
          <w:rFonts w:ascii="Calibri" w:hAnsi="Calibri" w:cs="Calibri"/>
          <w:sz w:val="18"/>
          <w:szCs w:val="16"/>
        </w:rPr>
        <w:t>Ekspresja kulturalna – czyli umiejętność odczytywania podstawowych znaków dziedzictwa kultury jako ważny aspekt poczucia tożsamości, również odniesienie do własnej lub innych twórczej ekspresji i jej różnorodności, znaczenie estetyki w codziennym życiu.”</w:t>
      </w:r>
    </w:p>
    <w:p w:rsidR="00C12DC1" w:rsidRPr="00C12DC1" w:rsidRDefault="00C12DC1" w:rsidP="00C12DC1">
      <w:pPr>
        <w:ind w:left="720"/>
        <w:jc w:val="both"/>
        <w:rPr>
          <w:rFonts w:cs="Calibri"/>
          <w:i/>
          <w:sz w:val="18"/>
          <w:szCs w:val="16"/>
        </w:rPr>
      </w:pPr>
      <w:r w:rsidRPr="00C12DC1">
        <w:rPr>
          <w:rFonts w:cs="Calibri"/>
          <w:i/>
          <w:sz w:val="18"/>
          <w:szCs w:val="16"/>
        </w:rPr>
        <w:t>Źródło: Raport o stanie edukacji. Społeczeństwo w drodze do wiedzy, 2011, IBE, Warszawa, s. 127-128. (W Polsce kompetencje kluczowe są włączone do podstawy programowej kształcenia ogólnego od 1 września 2009 r.)</w:t>
      </w:r>
    </w:p>
    <w:p w:rsidR="00C12DC1" w:rsidRDefault="00C12DC1" w:rsidP="00C12DC1">
      <w:pPr>
        <w:pStyle w:val="Tekstprzypisukocowego"/>
      </w:pPr>
    </w:p>
  </w:endnote>
  <w:endnote w:id="3">
    <w:p w:rsidR="00C12DC1" w:rsidRPr="00C12DC1" w:rsidRDefault="00C12DC1" w:rsidP="00C12DC1">
      <w:pPr>
        <w:pStyle w:val="Tekstkomentarza"/>
        <w:jc w:val="both"/>
        <w:rPr>
          <w:rFonts w:ascii="Calibri" w:hAnsi="Calibri" w:cs="Calibri"/>
          <w:sz w:val="18"/>
          <w:szCs w:val="16"/>
        </w:rPr>
      </w:pPr>
      <w:r w:rsidRPr="00C12DC1">
        <w:rPr>
          <w:rStyle w:val="Odwoanieprzypisukocowego"/>
          <w:rFonts w:ascii="Calibri" w:hAnsi="Calibri" w:cs="Calibri"/>
          <w:sz w:val="18"/>
          <w:szCs w:val="16"/>
        </w:rPr>
        <w:endnoteRef/>
      </w:r>
      <w:r w:rsidRPr="00C12DC1">
        <w:rPr>
          <w:rFonts w:ascii="Calibri" w:hAnsi="Calibri" w:cs="Calibri"/>
          <w:b/>
          <w:sz w:val="18"/>
          <w:szCs w:val="16"/>
        </w:rPr>
        <w:t xml:space="preserve"> Efekty uczenia się</w:t>
      </w:r>
      <w:r w:rsidRPr="00C12DC1">
        <w:rPr>
          <w:rFonts w:ascii="Calibri" w:hAnsi="Calibri" w:cs="Calibri"/>
          <w:sz w:val="18"/>
          <w:szCs w:val="16"/>
        </w:rPr>
        <w:t xml:space="preserve">  należy opisać,  jakiego rodzaju efekty uczenia się osiągnie osoba dorosła objęta określonym rodzajem interwencji (wsparciem edukacyjnym), tj. z jakiego obszaru osoba dorosła nabędzie/poszerzy wiedzę (wiedza teoretyczna, tj. rozumiem jak i dlaczego to działa oraz wiedza praktyczna, tj. wiem jak można to zrobić), jakie umiejętności nabędzie/poszerzy/rozwinie, w jakim obszarze pogłębi zrozumienie czegoś, w jakim stopniu będzie kształtować swoją postawę wobec określonych zjawisk/procesów oraz związane z nastawieniem emocjonalnym, motywacją i gotowością do podejmowania określonych działań. Efekty uczenia się powinny być tak sformułowane aby można je było zweryfikować. Jeżeli zakładamy, że uczestnik poszerzy wiedzę w jakimś zakresie, to w ofercie należy określić konkretnie,  o jaki zakres wiedzy chodzi a po zakończeniu działania należy sprawdzić czy uczestnik faktycznie te wiedzę zdobył (np. w formie pytania w ankiecie ewaluacyjnej). W podobny sposób należy postępować przy opisie umiejętności oraz postaw. </w:t>
      </w:r>
    </w:p>
    <w:p w:rsidR="00C12DC1" w:rsidRDefault="00C12DC1" w:rsidP="00C12DC1">
      <w:pPr>
        <w:pStyle w:val="Tekstprzypisukocowego"/>
      </w:pPr>
    </w:p>
  </w:endnote>
  <w:endnote w:id="4">
    <w:p w:rsidR="00C12DC1" w:rsidRPr="00C12DC1" w:rsidRDefault="00C12DC1" w:rsidP="00C12DC1">
      <w:pPr>
        <w:pStyle w:val="Tekstkomentarza"/>
        <w:jc w:val="both"/>
        <w:rPr>
          <w:rFonts w:ascii="Calibri" w:hAnsi="Calibri" w:cs="Calibri"/>
          <w:sz w:val="18"/>
        </w:rPr>
      </w:pPr>
      <w:r w:rsidRPr="00C12DC1">
        <w:rPr>
          <w:rStyle w:val="Odwoanieprzypisukocowego"/>
          <w:rFonts w:ascii="Calibri" w:hAnsi="Calibri" w:cs="Calibri"/>
          <w:sz w:val="18"/>
        </w:rPr>
        <w:endnoteRef/>
      </w:r>
      <w:r w:rsidRPr="00C12DC1">
        <w:rPr>
          <w:rFonts w:ascii="Calibri" w:hAnsi="Calibri" w:cs="Calibri"/>
          <w:sz w:val="18"/>
        </w:rPr>
        <w:t xml:space="preserve"> </w:t>
      </w:r>
      <w:r w:rsidRPr="00C12DC1">
        <w:rPr>
          <w:rFonts w:ascii="Calibri" w:hAnsi="Calibri" w:cs="Calibri"/>
          <w:b/>
          <w:sz w:val="18"/>
        </w:rPr>
        <w:t>Czas trwania i sposób organizacji</w:t>
      </w:r>
      <w:r w:rsidRPr="00C12DC1">
        <w:rPr>
          <w:rFonts w:ascii="Calibri" w:hAnsi="Calibri" w:cs="Calibri"/>
          <w:sz w:val="18"/>
        </w:rPr>
        <w:t xml:space="preserve">: Czas trwania należy podać w ogólnej liczbie jednostek lekcyjnych (np. 4 godziny). Sposób organizacji określa, w jaki trybie będzie organizowane działanie, np. 2 dni po 4 godziny, tj. łącznie 8 godz. lub 5 spotkań po 2 godz. raz/tydzień. </w:t>
      </w:r>
    </w:p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</w:endnote>
  <w:endnote w:id="5"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 xml:space="preserve">Rodzaj wsparcia: </w:t>
      </w:r>
      <w:r w:rsidRPr="00C12DC1">
        <w:rPr>
          <w:rFonts w:ascii="Calibri" w:hAnsi="Calibri" w:cs="Calibri"/>
          <w:sz w:val="18"/>
          <w:szCs w:val="18"/>
        </w:rPr>
        <w:t xml:space="preserve">Należy wskazać formę wsparcia. Przykładowe formy wsparcia: szkolenie  (stacjonarne,  e-learningowe, </w:t>
      </w:r>
      <w:proofErr w:type="spellStart"/>
      <w:r w:rsidRPr="00C12DC1">
        <w:rPr>
          <w:rFonts w:ascii="Calibri" w:hAnsi="Calibri" w:cs="Calibri"/>
          <w:sz w:val="18"/>
          <w:szCs w:val="18"/>
        </w:rPr>
        <w:t>blended</w:t>
      </w:r>
      <w:proofErr w:type="spellEnd"/>
      <w:r w:rsidRPr="00C12DC1">
        <w:rPr>
          <w:rFonts w:ascii="Calibri" w:hAnsi="Calibri" w:cs="Calibri"/>
          <w:sz w:val="18"/>
          <w:szCs w:val="18"/>
        </w:rPr>
        <w:t xml:space="preserve"> learning, czyli połączenie nauki w sali z udziałem trenera z minimalnym komponentem uczenia się na odległość; </w:t>
      </w:r>
      <w:proofErr w:type="spellStart"/>
      <w:r w:rsidRPr="00C12DC1">
        <w:rPr>
          <w:rFonts w:ascii="Calibri" w:hAnsi="Calibri" w:cs="Calibri"/>
          <w:sz w:val="18"/>
          <w:szCs w:val="18"/>
        </w:rPr>
        <w:t>work-based</w:t>
      </w:r>
      <w:proofErr w:type="spellEnd"/>
      <w:r w:rsidRPr="00C12DC1">
        <w:rPr>
          <w:rFonts w:ascii="Calibri" w:hAnsi="Calibri" w:cs="Calibri"/>
          <w:sz w:val="18"/>
          <w:szCs w:val="18"/>
        </w:rPr>
        <w:t xml:space="preserve"> – czyli prowadzone w ścisłej współpracy pracodawcą, seminarium,  warsztat,  prelekcja/ spotkanie z ekspertem z określonej dziedziny, konferencja, gra edukacyjna, debata, akcja/projekt edukacyjny, konkurs, doradztwo (indywidualne/grupowe), itd.</w:t>
      </w:r>
    </w:p>
    <w:p w:rsidR="00C12DC1" w:rsidRPr="00C12DC1" w:rsidRDefault="00C12DC1" w:rsidP="00C12DC1">
      <w:pPr>
        <w:pStyle w:val="Tekstprzypisukocowego"/>
        <w:rPr>
          <w:rFonts w:ascii="Calibri" w:hAnsi="Calibri" w:cs="Calibri"/>
          <w:sz w:val="18"/>
          <w:szCs w:val="18"/>
        </w:rPr>
      </w:pPr>
    </w:p>
  </w:endnote>
  <w:endnote w:id="6">
    <w:p w:rsidR="00C12DC1" w:rsidRPr="00C12DC1" w:rsidRDefault="00C12DC1" w:rsidP="00C12DC1">
      <w:pPr>
        <w:pStyle w:val="Tekstkomentarza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 xml:space="preserve">Metody realizacji: </w:t>
      </w:r>
      <w:r w:rsidRPr="00C12DC1">
        <w:rPr>
          <w:rFonts w:ascii="Calibri" w:hAnsi="Calibri" w:cs="Calibri"/>
          <w:sz w:val="18"/>
          <w:szCs w:val="18"/>
        </w:rPr>
        <w:t xml:space="preserve">Należy wskazać, jakie metody pracy będą wykorzystywane podczas realizacji działania, np.  wykład, dyskusja, studium przypadku, demonstracja, odgrywanie  ról, praca w grupie, analiza przypadków, ćwiczenia indywidualne i w grupach, stacjonarna /online,  itp. </w:t>
      </w:r>
    </w:p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</w:endnote>
  <w:endnote w:id="7"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>Adresaci/uczestnicy  wsparcia</w:t>
      </w:r>
      <w:r w:rsidRPr="00C12DC1">
        <w:rPr>
          <w:rFonts w:ascii="Calibri" w:hAnsi="Calibri" w:cs="Calibri"/>
          <w:sz w:val="18"/>
          <w:szCs w:val="18"/>
        </w:rPr>
        <w:t>: Jeśli wsparcie jest oferowane do jakiejś określonej kategorii uczestników ze względu na status zawodowy, posiadane kompetencje, itp. (np. osoby długotrwale bezrobotne, seniorzy) , w tym polu należy przedstawić krótką charakterystykę adresata działania.</w:t>
      </w:r>
    </w:p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</w:endnote>
  <w:endnote w:id="8"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 xml:space="preserve">Metody ewaluacji: </w:t>
      </w:r>
      <w:r w:rsidRPr="00C12DC1">
        <w:rPr>
          <w:rFonts w:ascii="Calibri" w:hAnsi="Calibri" w:cs="Calibri"/>
          <w:sz w:val="18"/>
          <w:szCs w:val="18"/>
        </w:rPr>
        <w:t>Standardem oceny wsparcia edukacyjnego jest ankieta ewaluacyjna wypełniana przez uczestników na koniec wsparcia. W zależności od formy wsparcia, można stosować inne formy oceny, np. test, obserwację,  wywiad, wykonanie przez uczestnika ćwiczenia lub inne, dostosowane do firmy i zakresu działania edukacyjnego.</w:t>
      </w:r>
    </w:p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</w:p>
  </w:endnote>
  <w:endnote w:id="9">
    <w:p w:rsidR="00C12DC1" w:rsidRPr="00C12DC1" w:rsidRDefault="00C12DC1" w:rsidP="00C12DC1">
      <w:pPr>
        <w:pStyle w:val="Tekstprzypisukocowego"/>
        <w:jc w:val="both"/>
        <w:rPr>
          <w:rFonts w:ascii="Calibri" w:hAnsi="Calibri" w:cs="Calibri"/>
          <w:sz w:val="18"/>
          <w:szCs w:val="18"/>
        </w:rPr>
      </w:pPr>
      <w:r w:rsidRPr="00C12DC1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C12DC1">
        <w:rPr>
          <w:rFonts w:ascii="Calibri" w:hAnsi="Calibri" w:cs="Calibri"/>
          <w:sz w:val="18"/>
          <w:szCs w:val="18"/>
        </w:rPr>
        <w:t xml:space="preserve"> </w:t>
      </w:r>
      <w:r w:rsidRPr="00C12DC1">
        <w:rPr>
          <w:rFonts w:ascii="Calibri" w:hAnsi="Calibri" w:cs="Calibri"/>
          <w:b/>
          <w:sz w:val="18"/>
          <w:szCs w:val="18"/>
        </w:rPr>
        <w:t xml:space="preserve">Rekomendacje rozwojowe dla uczestników: </w:t>
      </w:r>
      <w:r w:rsidRPr="00C12DC1">
        <w:rPr>
          <w:rFonts w:ascii="Calibri" w:hAnsi="Calibri" w:cs="Calibri"/>
          <w:sz w:val="18"/>
          <w:szCs w:val="18"/>
        </w:rPr>
        <w:t>Należy wskazać</w:t>
      </w:r>
      <w:r w:rsidRPr="00C12DC1">
        <w:rPr>
          <w:rFonts w:ascii="Calibri" w:hAnsi="Calibri" w:cs="Calibri"/>
          <w:b/>
          <w:sz w:val="18"/>
          <w:szCs w:val="18"/>
        </w:rPr>
        <w:t xml:space="preserve"> </w:t>
      </w:r>
      <w:r w:rsidRPr="00C12DC1">
        <w:rPr>
          <w:rFonts w:ascii="Calibri" w:hAnsi="Calibri" w:cs="Calibri"/>
          <w:sz w:val="18"/>
          <w:szCs w:val="18"/>
        </w:rPr>
        <w:t>możliwości kontynuacji przez uczestnika zdobywania wiedzy/umiejętności po zakończeniu udziału. Np. może to być:-wskazanie źródeł  literatury/publikacji dla zgłębienia lub utrwalenia danej tematyki, dodatkowe ćwiczenia/zadania do samodzielnego wykonywania po zakończeniu, -spotkania/sesje poszkoleniowe (grupy wsparcia), konsultacje z kadrą, dostęp do bazy wiedzy (np. źródła internetowe) wspierające samodzielne rozwijanie kompetencji w określonych obszarze.</w:t>
      </w:r>
    </w:p>
    <w:p w:rsidR="00C12DC1" w:rsidRDefault="00C12DC1" w:rsidP="00C12DC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0D" w:rsidRPr="00EA567D" w:rsidRDefault="003646DF" w:rsidP="001B230D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FC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:rsidR="001B230D" w:rsidRPr="00EA567D" w:rsidRDefault="001B230D" w:rsidP="006A2628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8E" w:rsidRDefault="00315C8E" w:rsidP="004B4375">
      <w:pPr>
        <w:spacing w:line="240" w:lineRule="auto"/>
      </w:pPr>
      <w:r>
        <w:separator/>
      </w:r>
    </w:p>
  </w:footnote>
  <w:footnote w:type="continuationSeparator" w:id="0">
    <w:p w:rsidR="00315C8E" w:rsidRDefault="00315C8E" w:rsidP="004B4375">
      <w:pPr>
        <w:spacing w:line="240" w:lineRule="auto"/>
      </w:pPr>
      <w:r>
        <w:continuationSeparator/>
      </w:r>
    </w:p>
  </w:footnote>
  <w:footnote w:id="1">
    <w:p w:rsidR="00C12DC1" w:rsidRDefault="00C12DC1" w:rsidP="00C12DC1">
      <w:pPr>
        <w:pStyle w:val="Tekstprzypisudolnego1"/>
      </w:pPr>
      <w:r>
        <w:rPr>
          <w:rStyle w:val="Odwoanieprzypisudolnego"/>
        </w:rPr>
        <w:footnoteRef/>
      </w:r>
      <w:r>
        <w:t xml:space="preserve"> Godziny wsparcia należy dostosować do tematyki wsparcia, potrzeb uczestników, ich możliwości czasowych, itp.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75" w:rsidRDefault="003646DF" w:rsidP="00EA567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760730</wp:posOffset>
              </wp:positionV>
              <wp:extent cx="6743700" cy="0"/>
              <wp:effectExtent l="9525" t="12700" r="9525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7B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85pt;margin-top:59.9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"/>
          </w:pict>
        </mc:Fallback>
      </mc:AlternateContent>
    </w:r>
    <w:r w:rsidR="00B07436">
      <w:rPr>
        <w:noProof/>
        <w:sz w:val="20"/>
        <w:lang w:eastAsia="pl-PL"/>
      </w:rPr>
      <w:drawing>
        <wp:inline distT="0" distB="0" distL="0" distR="0" wp14:anchorId="3C416F14" wp14:editId="354F1E78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39D"/>
    <w:multiLevelType w:val="hybridMultilevel"/>
    <w:tmpl w:val="86D62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66A4A"/>
    <w:multiLevelType w:val="hybridMultilevel"/>
    <w:tmpl w:val="76423B82"/>
    <w:lvl w:ilvl="0" w:tplc="61427AD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75"/>
    <w:rsid w:val="00024947"/>
    <w:rsid w:val="00054F88"/>
    <w:rsid w:val="00056E74"/>
    <w:rsid w:val="000570F5"/>
    <w:rsid w:val="00080C9C"/>
    <w:rsid w:val="00087E0F"/>
    <w:rsid w:val="00090191"/>
    <w:rsid w:val="00096838"/>
    <w:rsid w:val="000A4D2D"/>
    <w:rsid w:val="000E0091"/>
    <w:rsid w:val="000E0908"/>
    <w:rsid w:val="00122BAC"/>
    <w:rsid w:val="00134AEF"/>
    <w:rsid w:val="0014018B"/>
    <w:rsid w:val="00147B63"/>
    <w:rsid w:val="00180D7F"/>
    <w:rsid w:val="001855B5"/>
    <w:rsid w:val="001956AA"/>
    <w:rsid w:val="001A161B"/>
    <w:rsid w:val="001B230D"/>
    <w:rsid w:val="001B5834"/>
    <w:rsid w:val="001B762B"/>
    <w:rsid w:val="00216CFF"/>
    <w:rsid w:val="002175F4"/>
    <w:rsid w:val="002427C5"/>
    <w:rsid w:val="00245A30"/>
    <w:rsid w:val="00264DD0"/>
    <w:rsid w:val="00274F56"/>
    <w:rsid w:val="002B40E9"/>
    <w:rsid w:val="002E704D"/>
    <w:rsid w:val="00315C8E"/>
    <w:rsid w:val="003324E7"/>
    <w:rsid w:val="00340D83"/>
    <w:rsid w:val="003646DF"/>
    <w:rsid w:val="003801F1"/>
    <w:rsid w:val="00381F1B"/>
    <w:rsid w:val="003873B5"/>
    <w:rsid w:val="003965F3"/>
    <w:rsid w:val="0039798D"/>
    <w:rsid w:val="003B1F03"/>
    <w:rsid w:val="003B3098"/>
    <w:rsid w:val="003F5ED1"/>
    <w:rsid w:val="0043269E"/>
    <w:rsid w:val="00470A0D"/>
    <w:rsid w:val="0047744D"/>
    <w:rsid w:val="004B4375"/>
    <w:rsid w:val="004B573A"/>
    <w:rsid w:val="004B71F1"/>
    <w:rsid w:val="005302FD"/>
    <w:rsid w:val="00553BA5"/>
    <w:rsid w:val="00553DA1"/>
    <w:rsid w:val="00554922"/>
    <w:rsid w:val="00594626"/>
    <w:rsid w:val="005E06EF"/>
    <w:rsid w:val="006037AA"/>
    <w:rsid w:val="00623A64"/>
    <w:rsid w:val="006444BD"/>
    <w:rsid w:val="0068750A"/>
    <w:rsid w:val="006A2628"/>
    <w:rsid w:val="00743708"/>
    <w:rsid w:val="007E6ADC"/>
    <w:rsid w:val="00812F8D"/>
    <w:rsid w:val="008214E1"/>
    <w:rsid w:val="008333B0"/>
    <w:rsid w:val="00842BAA"/>
    <w:rsid w:val="008A032A"/>
    <w:rsid w:val="008E55F3"/>
    <w:rsid w:val="008E5971"/>
    <w:rsid w:val="0090475F"/>
    <w:rsid w:val="009258DA"/>
    <w:rsid w:val="00943AF2"/>
    <w:rsid w:val="00952BCB"/>
    <w:rsid w:val="0099204E"/>
    <w:rsid w:val="009A0ECB"/>
    <w:rsid w:val="009E15CF"/>
    <w:rsid w:val="009F2118"/>
    <w:rsid w:val="009F5C5F"/>
    <w:rsid w:val="00A30697"/>
    <w:rsid w:val="00A8589B"/>
    <w:rsid w:val="00A92A4C"/>
    <w:rsid w:val="00AA72D8"/>
    <w:rsid w:val="00AB1A39"/>
    <w:rsid w:val="00AB3549"/>
    <w:rsid w:val="00AE4583"/>
    <w:rsid w:val="00B04801"/>
    <w:rsid w:val="00B07436"/>
    <w:rsid w:val="00B600DE"/>
    <w:rsid w:val="00B65758"/>
    <w:rsid w:val="00B67029"/>
    <w:rsid w:val="00B7695A"/>
    <w:rsid w:val="00BB5849"/>
    <w:rsid w:val="00BD5001"/>
    <w:rsid w:val="00C116D5"/>
    <w:rsid w:val="00C12DC1"/>
    <w:rsid w:val="00C37CA9"/>
    <w:rsid w:val="00C41537"/>
    <w:rsid w:val="00C71362"/>
    <w:rsid w:val="00C836A7"/>
    <w:rsid w:val="00CC1A80"/>
    <w:rsid w:val="00CC3FC4"/>
    <w:rsid w:val="00CD5FD5"/>
    <w:rsid w:val="00CE77C9"/>
    <w:rsid w:val="00D026A4"/>
    <w:rsid w:val="00D35621"/>
    <w:rsid w:val="00D57A44"/>
    <w:rsid w:val="00D60149"/>
    <w:rsid w:val="00D81746"/>
    <w:rsid w:val="00DC372A"/>
    <w:rsid w:val="00DD3448"/>
    <w:rsid w:val="00DE393A"/>
    <w:rsid w:val="00DE3F08"/>
    <w:rsid w:val="00E073B1"/>
    <w:rsid w:val="00E112CE"/>
    <w:rsid w:val="00EA567D"/>
    <w:rsid w:val="00ED5715"/>
    <w:rsid w:val="00F07614"/>
    <w:rsid w:val="00F26A06"/>
    <w:rsid w:val="00F47D0C"/>
    <w:rsid w:val="00F53D26"/>
    <w:rsid w:val="00F55C5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74FD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95A"/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spacing w:after="160" w:line="259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 w:line="259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  <w:spacing w:after="16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  <w:spacing w:after="16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A4D2D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2D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2D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2DC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12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DC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2DC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2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C7B97-5F7E-4DE7-A0D0-AEA53165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</cp:lastModifiedBy>
  <cp:revision>5</cp:revision>
  <cp:lastPrinted>2020-01-09T12:19:00Z</cp:lastPrinted>
  <dcterms:created xsi:type="dcterms:W3CDTF">2021-01-10T10:59:00Z</dcterms:created>
  <dcterms:modified xsi:type="dcterms:W3CDTF">2021-01-13T17:38:00Z</dcterms:modified>
</cp:coreProperties>
</file>